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c>
          <w:tcPr>
            <w:tcW w:w="962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RELAZIONE DEL TESORIERE AL BILANCIO DI PREVISIONE 2022</w:t>
            </w:r>
          </w:p>
        </w:tc>
      </w:tr>
    </w:tbl>
    <w:p>
      <w:pPr>
        <w:jc w:val="both"/>
      </w:pPr>
    </w:p>
    <w:p>
      <w:pPr>
        <w:jc w:val="both"/>
      </w:pPr>
      <w:r>
        <w:t>Gentili Colleghi,</w:t>
      </w:r>
    </w:p>
    <w:p>
      <w:pPr>
        <w:jc w:val="both"/>
      </w:pPr>
      <w:r>
        <w:t>il bilancio di previsione che viene sottoposto alla Vostra approvazione è stato redatto sulla base del prospetto previsto dal Regolamento per l’Amministrazione e la Contabilità dell’Ordine.</w:t>
      </w:r>
    </w:p>
    <w:p>
      <w:pPr>
        <w:jc w:val="both"/>
      </w:pPr>
      <w:r>
        <w:t>Tale schema si articola in titoli, categorie e capitoli e riporta, oltre alle previsioni di entrata e di uscita per l’anno 2022 in termini di competenza, anche la situazione dei residui (attivi e passivi) presunti all’inizio dell’esercizio, la previsione di cassa ed i quadri riassuntivi delle due sezioni.</w:t>
      </w:r>
    </w:p>
    <w:p>
      <w:pPr>
        <w:jc w:val="both"/>
      </w:pPr>
      <w:r>
        <w:t>Il bilancio, ai fini comparativi, riporta i dati previsionali relativi all’esercizio 2021.</w:t>
      </w:r>
    </w:p>
    <w:p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c>
          <w:tcPr>
            <w:tcW w:w="962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Entrate</w:t>
            </w:r>
          </w:p>
        </w:tc>
      </w:tr>
    </w:tbl>
    <w:p>
      <w:pPr>
        <w:jc w:val="both"/>
      </w:pPr>
    </w:p>
    <w:p>
      <w:pPr>
        <w:jc w:val="both"/>
        <w:rPr>
          <w:u w:val="single"/>
        </w:rPr>
      </w:pPr>
      <w:r>
        <w:rPr>
          <w:u w:val="single"/>
        </w:rPr>
        <w:t>Premessa</w:t>
      </w:r>
    </w:p>
    <w:p>
      <w:pPr>
        <w:jc w:val="both"/>
      </w:pPr>
      <w:r>
        <w:t xml:space="preserve">Come noto le entrate del nostro Ente sono derivanti in massima parte dalla quota annuale di iscrizione: </w:t>
      </w:r>
    </w:p>
    <w:p>
      <w:pPr>
        <w:jc w:val="both"/>
      </w:pPr>
      <w:r>
        <w:t>al 23/09/2021 risultano n. 3938 scritti, di cui n. 181 iscritti ai due albi, medici chirurghi e odontoiatri.</w:t>
      </w:r>
    </w:p>
    <w:p>
      <w:pPr>
        <w:jc w:val="both"/>
      </w:pPr>
      <w:r>
        <w:t>Risultano altresì, n. 5 STP</w:t>
      </w:r>
    </w:p>
    <w:p>
      <w:pPr>
        <w:jc w:val="both"/>
      </w:pPr>
      <w:r>
        <w:t>Il Consiglio ha fissato la quota di iscrizione nelle seguenti misure:</w:t>
      </w:r>
    </w:p>
    <w:tbl>
      <w:tblPr>
        <w:tblW w:w="7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1280"/>
        <w:gridCol w:w="2080"/>
        <w:gridCol w:w="1020"/>
        <w:gridCol w:w="1480"/>
      </w:tblGrid>
      <w:tr>
        <w:trPr>
          <w:trHeight w:val="300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QUOTE 2021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ISTAT: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2,1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QUOTE 2022</w:t>
            </w:r>
          </w:p>
        </w:tc>
      </w:tr>
      <w:tr>
        <w:trPr>
          <w:trHeight w:val="300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SINGOLO ALBO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€ 189,24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SINGOLO ALBO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€ 3,974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  <w:t>€ 193,21</w:t>
            </w:r>
          </w:p>
        </w:tc>
      </w:tr>
      <w:tr>
        <w:trPr>
          <w:trHeight w:val="300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ULTERIORE ALBO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€ 144,54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ULTERIORE ALBO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€ 3,035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  <w:t>€ 147,58</w:t>
            </w:r>
          </w:p>
        </w:tc>
      </w:tr>
      <w:tr>
        <w:trPr>
          <w:trHeight w:val="300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TOTALE DOPPIO ALBO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€ 333,78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TOTALE DOPPIO ALBO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€ 7,009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  <w:t>€ 340,79</w:t>
            </w:r>
          </w:p>
        </w:tc>
      </w:tr>
      <w:tr>
        <w:trPr>
          <w:trHeight w:val="300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Variazione consiglio: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STP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€ 189,24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€ 0,50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€ 3,974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70C0"/>
                <w:lang w:eastAsia="it-IT"/>
              </w:rPr>
              <w:t>€ 193,71</w:t>
            </w:r>
          </w:p>
        </w:tc>
      </w:tr>
      <w:tr>
        <w:trPr>
          <w:trHeight w:val="300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DIRITTI SEGRETERIA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€. 25,82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2F75B5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2F75B5"/>
                <w:lang w:eastAsia="it-IT"/>
              </w:rPr>
              <w:t>€ 25,82</w:t>
            </w:r>
          </w:p>
        </w:tc>
      </w:tr>
      <w:tr>
        <w:trPr>
          <w:trHeight w:val="300"/>
          <w:jc w:val="center"/>
        </w:trPr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TASSA AVALLO PARC.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€. 25,82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€ 0,50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2F75B5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2F75B5"/>
                <w:lang w:eastAsia="it-IT"/>
              </w:rPr>
              <w:t>€ 26,32</w:t>
            </w:r>
          </w:p>
        </w:tc>
      </w:tr>
    </w:tbl>
    <w:p/>
    <w:p>
      <w:pPr>
        <w:jc w:val="both"/>
      </w:pPr>
      <w:r>
        <w:t>La prima voce delle Entrate è costituita dall’Avanzo di amministrazione presunto pari ad €. 507.607,12.</w:t>
      </w:r>
    </w:p>
    <w:p>
      <w:pPr>
        <w:jc w:val="both"/>
      </w:pPr>
      <w:r>
        <w:t>Per il resto, le previsioni delle entrate, pari a complessivi €. 1.115.008,51 in conto competenza, sono state determinate come di seguito indicato:</w:t>
      </w:r>
    </w:p>
    <w:p>
      <w:pPr>
        <w:jc w:val="both"/>
      </w:pPr>
    </w:p>
    <w:p>
      <w:pPr>
        <w:pStyle w:val="Paragrafoelenco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Titolo I – Entrate Correnti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I – Contributi Iscritti</w:t>
      </w:r>
    </w:p>
    <w:p>
      <w:pPr>
        <w:ind w:left="360"/>
        <w:jc w:val="both"/>
      </w:pPr>
      <w:r>
        <w:t>Le somme esposte nel Titolo I costituiscono le entrate effettive che si prevede di riscuotere come quota annuale di iscrizione negli Albi di competenza dell’Ordine.</w:t>
      </w:r>
    </w:p>
    <w:p>
      <w:pPr>
        <w:ind w:left="360"/>
        <w:jc w:val="both"/>
      </w:pPr>
      <w:r>
        <w:lastRenderedPageBreak/>
        <w:t>Le previsioni di entrate contributive di competenza per il 2022 sono stimate in € + 811.731,71 mentre le previsioni di cassa, considerati i residui presunti del 2021, ammontano ad € +988.622,14.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II – Entrate per la preparazione di servizi</w:t>
      </w:r>
    </w:p>
    <w:p>
      <w:pPr>
        <w:ind w:left="360"/>
        <w:jc w:val="both"/>
      </w:pPr>
      <w:r>
        <w:t>€ +3.914,80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III – Redditi e proventi patrimoniali</w:t>
      </w:r>
    </w:p>
    <w:p>
      <w:pPr>
        <w:ind w:left="360"/>
        <w:jc w:val="both"/>
      </w:pPr>
      <w:r>
        <w:t>€ +350 per interessi su depositi bancari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IV – Poste correttive e compensative di spese correnti</w:t>
      </w:r>
    </w:p>
    <w:p>
      <w:pPr>
        <w:ind w:left="360"/>
        <w:jc w:val="both"/>
      </w:pPr>
      <w:r>
        <w:t>€ +2.002,00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V – Entrate non classificabili in altre voci</w:t>
      </w:r>
    </w:p>
    <w:p>
      <w:pPr>
        <w:ind w:left="360"/>
        <w:jc w:val="both"/>
      </w:pPr>
      <w:r>
        <w:t>€ +1.010,00</w:t>
      </w:r>
    </w:p>
    <w:p>
      <w:pPr>
        <w:ind w:left="360"/>
        <w:jc w:val="both"/>
      </w:pPr>
    </w:p>
    <w:p>
      <w:pPr>
        <w:ind w:left="360"/>
        <w:jc w:val="both"/>
      </w:pPr>
      <w:r>
        <w:t>Complessivamente le entrate del Titolo I previste per competenza ammontano ad €+819.008,51, contro l’importo di €. +799.814,88 previsto per il 2021, e risultano quindi incrementate di € +19.193,63 rispetto alle previsioni dell’anno precedente.</w:t>
      </w:r>
    </w:p>
    <w:p>
      <w:pPr>
        <w:ind w:left="360"/>
        <w:jc w:val="both"/>
      </w:pPr>
    </w:p>
    <w:p>
      <w:pPr>
        <w:pStyle w:val="Paragrafoelenco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Titolo II – Entrate in Conto Capitale</w:t>
      </w:r>
    </w:p>
    <w:p>
      <w:pPr>
        <w:ind w:left="360"/>
        <w:jc w:val="both"/>
      </w:pPr>
      <w:r>
        <w:t>Per l’anno 2022 non sono previste entrate di competenza in conto capitale</w:t>
      </w:r>
    </w:p>
    <w:p>
      <w:pPr>
        <w:ind w:left="360"/>
        <w:jc w:val="both"/>
      </w:pPr>
    </w:p>
    <w:p>
      <w:pPr>
        <w:pStyle w:val="Paragrafoelenco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Titolo III – Entrate per Partite di Giro</w:t>
      </w:r>
    </w:p>
    <w:p>
      <w:pPr>
        <w:pStyle w:val="Paragrafoelenco"/>
        <w:ind w:left="360"/>
        <w:jc w:val="both"/>
        <w:rPr>
          <w:u w:val="single"/>
        </w:rPr>
      </w:pPr>
      <w:r>
        <w:rPr>
          <w:u w:val="single"/>
        </w:rPr>
        <w:t>Categoria I – Entrate aventi natura di partite di giro</w:t>
      </w:r>
    </w:p>
    <w:p>
      <w:pPr>
        <w:ind w:left="360"/>
        <w:jc w:val="both"/>
      </w:pPr>
      <w:r>
        <w:t>€ +296.000,00</w:t>
      </w:r>
    </w:p>
    <w:p>
      <w:pPr>
        <w:ind w:left="360"/>
        <w:jc w:val="both"/>
      </w:pPr>
      <w:r>
        <w:t>Le operazioni in commento non hanno rilievo economico ma soltanto finanziario /contabile.</w:t>
      </w:r>
    </w:p>
    <w:p>
      <w:pPr>
        <w:ind w:left="360"/>
        <w:jc w:val="both"/>
      </w:pPr>
      <w:r>
        <w:t>A titolo esemplificativo si tratta principalmente di trattenute erariali e previdenziali operate sulle competenze del personale dipendente, dei collaboratori e dei professionisti.</w:t>
      </w:r>
    </w:p>
    <w:p>
      <w:pPr>
        <w:ind w:left="360"/>
        <w:jc w:val="both"/>
        <w:rPr>
          <w:color w:val="FF0000"/>
        </w:rPr>
      </w:pPr>
      <w:r>
        <w:t xml:space="preserve">Complessivamente le entrate del Titolo III ammontano ad € +296.000,00. </w:t>
      </w:r>
    </w:p>
    <w:p>
      <w:pPr>
        <w:ind w:left="360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c>
          <w:tcPr>
            <w:tcW w:w="962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Uscite</w:t>
            </w:r>
          </w:p>
        </w:tc>
      </w:tr>
    </w:tbl>
    <w:p>
      <w:pPr>
        <w:jc w:val="both"/>
      </w:pPr>
    </w:p>
    <w:p>
      <w:pPr>
        <w:jc w:val="both"/>
      </w:pPr>
      <w:r>
        <w:t>Le previsioni delle uscite, pari a complessivi €. 1.374.120,00 in conto competenza, sono state determinate come di seguito indicato:</w:t>
      </w:r>
    </w:p>
    <w:p>
      <w:pPr>
        <w:jc w:val="both"/>
      </w:pPr>
    </w:p>
    <w:p>
      <w:pPr>
        <w:pStyle w:val="Paragrafoelenco"/>
        <w:numPr>
          <w:ilvl w:val="0"/>
          <w:numId w:val="1"/>
        </w:numPr>
        <w:jc w:val="both"/>
        <w:rPr>
          <w:b/>
          <w:bCs/>
          <w:u w:val="single"/>
        </w:rPr>
      </w:pPr>
      <w:r>
        <w:rPr>
          <w:b/>
          <w:bCs/>
          <w:u w:val="single"/>
        </w:rPr>
        <w:t>TITOLO I – SPESE CORRENTI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 – Spese per organi istituzionali €+ 148.600,00</w:t>
      </w:r>
    </w:p>
    <w:p>
      <w:pPr>
        <w:widowControl w:val="0"/>
        <w:ind w:left="357"/>
        <w:jc w:val="both"/>
        <w:rPr>
          <w:u w:val="single"/>
        </w:rPr>
      </w:pPr>
      <w:r>
        <w:t xml:space="preserve">La diminuzione è giustificata dalla mancata appostazione delle spese per rinnovo cariche ordinistiche in </w:t>
      </w:r>
      <w:r>
        <w:lastRenderedPageBreak/>
        <w:t>quanto già sostenute e tenutesi nel 2021.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2 – Spese di rappresentanza € +20.000,00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3 – Spese per il funzionamento di organi e commissioni € +1.000,00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4 – Promozione culturale, convegni, congressi, e altre manifestazioni € +127.500,00</w:t>
      </w:r>
    </w:p>
    <w:p>
      <w:pPr>
        <w:ind w:left="360"/>
        <w:jc w:val="both"/>
      </w:pPr>
      <w:r>
        <w:t>In tale voce risulta confermato uno stanziamento di €. 87.500,00 per l’istituzione, come nei recenti anni passati, di borse di studio a favore degli iscritti.</w:t>
      </w:r>
    </w:p>
    <w:p>
      <w:pPr>
        <w:ind w:left="360"/>
      </w:pPr>
      <w:r>
        <w:rPr>
          <w:u w:val="single"/>
        </w:rPr>
        <w:t xml:space="preserve">Categoria 5 – Spese pubblicazioni, libri, riviste ed altro € +27.500,00 </w:t>
      </w:r>
      <w:r>
        <w:rPr>
          <w:u w:val="single"/>
        </w:rPr>
        <w:br/>
      </w:r>
      <w:r>
        <w:t xml:space="preserve">Tale diminuzione è dovuta alla eliminazione della stampa della rivista </w:t>
      </w:r>
      <w:proofErr w:type="spellStart"/>
      <w:r>
        <w:t>Medici&amp;Medici</w:t>
      </w:r>
      <w:proofErr w:type="spellEnd"/>
      <w:r>
        <w:t xml:space="preserve"> che d’ora in poi sarà in formato digitale</w:t>
      </w:r>
    </w:p>
    <w:p>
      <w:pPr>
        <w:ind w:left="360"/>
        <w:rPr>
          <w:u w:val="single"/>
        </w:rPr>
      </w:pPr>
      <w:r>
        <w:rPr>
          <w:u w:val="single"/>
        </w:rPr>
        <w:t>Categoria 6 – Spese per il personale € +331.100,00</w:t>
      </w:r>
      <w:r>
        <w:rPr>
          <w:u w:val="single"/>
        </w:rPr>
        <w:br/>
      </w:r>
      <w:r>
        <w:t>L’aumento è stato previsto al capitolo “Copertura posti vacanti” in quanto ci sarà il pensionamento di una dipendente e si dovrà prevedere l’assunzione di una unità già prevista in pianta organica e per gli assegni nucleo familiare, previsti per legge.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7 – Spese per accertamenti sanitari € +2.500,00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8 – Oneri e compensi € +83.000,00</w:t>
      </w:r>
    </w:p>
    <w:p>
      <w:pPr>
        <w:ind w:left="360"/>
        <w:jc w:val="both"/>
        <w:rPr>
          <w:u w:val="single"/>
        </w:rPr>
      </w:pPr>
      <w:r>
        <w:t>La diminuzione è dovuta alla previsione di minori oneri per consulenze tecniche per ristrutturazione dei locali ordinistici in quanto già impegnate nel corrente esercizio.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9 – Spese per la sede € +44.500,00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10 – Spese funzionamento, acquisto beni consumo, servizi, manutenzioni noleggio materiali € +66.500,00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11 – Spese postali, telefoniche, telegrafiche € +8.000,00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12 – Oneri tributari € +20.000,00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13 – Oneri finanziari € +2.900,00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14 – Poste correttive e compensative di entrate correnti € +111.010,00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15 – Spese non classificabili in altre voci € +1.010,00</w:t>
      </w:r>
    </w:p>
    <w:p>
      <w:pPr>
        <w:ind w:left="360"/>
        <w:jc w:val="both"/>
        <w:rPr>
          <w:u w:val="single"/>
        </w:rPr>
      </w:pPr>
      <w:r>
        <w:rPr>
          <w:u w:val="single"/>
        </w:rPr>
        <w:t>Categoria 16 – Fondo di riserva per stanziamenti insufficienti € +28.000,00</w:t>
      </w:r>
    </w:p>
    <w:p>
      <w:pPr>
        <w:pStyle w:val="Paragrafoelenco"/>
        <w:ind w:left="360"/>
        <w:jc w:val="both"/>
      </w:pPr>
      <w:r>
        <w:t>Tale voce è prevista per la eventuale integrazione delle uscite in caso di stanziamento insufficiente o spese impreviste e rientra nei limiti previsti</w:t>
      </w:r>
    </w:p>
    <w:p>
      <w:pPr>
        <w:pStyle w:val="Paragrafoelenco"/>
        <w:ind w:left="360"/>
        <w:jc w:val="both"/>
        <w:rPr>
          <w:u w:val="single"/>
        </w:rPr>
      </w:pPr>
    </w:p>
    <w:p>
      <w:pPr>
        <w:pStyle w:val="Paragrafoelenco"/>
        <w:ind w:left="360"/>
        <w:jc w:val="both"/>
      </w:pPr>
      <w:r>
        <w:t>Complessivamente le uscite del Titolo I previste per competenza ammontano ad €. 1.023.120,00, contro l’importo di €. +1.062.120,00 previsto per il 2021, e risultano quindi diminuite di € 39.000,00 rispetto alle previsioni dell’anno precedente.</w:t>
      </w:r>
    </w:p>
    <w:p>
      <w:pPr>
        <w:pStyle w:val="Paragrafoelenco"/>
        <w:ind w:left="360"/>
        <w:jc w:val="both"/>
      </w:pPr>
    </w:p>
    <w:p>
      <w:pPr>
        <w:pStyle w:val="Paragrafoelenco"/>
        <w:ind w:left="360"/>
        <w:jc w:val="both"/>
        <w:rPr>
          <w:u w:val="single"/>
        </w:rPr>
      </w:pPr>
    </w:p>
    <w:p>
      <w:pPr>
        <w:pStyle w:val="Paragrafoelenco"/>
        <w:numPr>
          <w:ilvl w:val="0"/>
          <w:numId w:val="1"/>
        </w:numPr>
        <w:jc w:val="both"/>
        <w:rPr>
          <w:u w:val="single"/>
        </w:rPr>
      </w:pPr>
      <w:r>
        <w:rPr>
          <w:b/>
          <w:bCs/>
          <w:u w:val="single"/>
        </w:rPr>
        <w:t>TITOLO II – SPESE IN CONTO CAPITALE</w:t>
      </w:r>
      <w:r>
        <w:rPr>
          <w:u w:val="single"/>
        </w:rPr>
        <w:t xml:space="preserve"> </w:t>
      </w:r>
    </w:p>
    <w:p>
      <w:pPr>
        <w:pStyle w:val="Paragrafoelenco"/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Categoria 2 – Spese per immobilizzazioni tecniche € +42.000,00</w:t>
      </w:r>
    </w:p>
    <w:p>
      <w:pPr>
        <w:pStyle w:val="Paragrafoelenco"/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Categoria 3 – Accantonamento anzianità e similari € +13.000,00</w:t>
      </w:r>
    </w:p>
    <w:p>
      <w:pPr>
        <w:pStyle w:val="Paragrafoelenco"/>
        <w:ind w:left="360"/>
        <w:jc w:val="both"/>
        <w:rPr>
          <w:u w:val="single"/>
        </w:rPr>
      </w:pPr>
    </w:p>
    <w:p>
      <w:pPr>
        <w:pStyle w:val="Paragrafoelenco"/>
        <w:ind w:left="360"/>
        <w:jc w:val="both"/>
        <w:rPr>
          <w:u w:val="single"/>
        </w:rPr>
      </w:pPr>
      <w:r>
        <w:t>Complessivamente le uscite del Titolo II ammontano ad € +55.000,00.</w:t>
      </w:r>
    </w:p>
    <w:p>
      <w:pPr>
        <w:pStyle w:val="Paragrafoelenco"/>
        <w:ind w:left="360"/>
        <w:jc w:val="both"/>
        <w:rPr>
          <w:u w:val="single"/>
        </w:rPr>
      </w:pPr>
    </w:p>
    <w:p>
      <w:pPr>
        <w:pStyle w:val="Paragrafoelenco"/>
        <w:ind w:left="360"/>
        <w:jc w:val="both"/>
        <w:rPr>
          <w:u w:val="single"/>
        </w:rPr>
      </w:pPr>
    </w:p>
    <w:p>
      <w:pPr>
        <w:pStyle w:val="Paragrafoelenco"/>
        <w:ind w:left="360"/>
        <w:jc w:val="both"/>
        <w:rPr>
          <w:u w:val="single"/>
        </w:rPr>
      </w:pPr>
      <w:r>
        <w:t xml:space="preserve">Si evidenzia che in tale Titolo risulta iscritto tra i residui passivi presunti, in quanto uscite già deliberate,  il capitolo riferito alle spese che si prevede di sostenere per la ristrutturazione e riqualificazione dei locali sede di proprietà e per le quali, come già evidenziato nel precedente bilancio, l’Ordine beneficerà del parziale ristoro grazie al contributo €. +119.004,01 che la </w:t>
      </w:r>
      <w:proofErr w:type="spellStart"/>
      <w:r>
        <w:t>FNOMCeO</w:t>
      </w:r>
      <w:proofErr w:type="spellEnd"/>
      <w:r>
        <w:t xml:space="preserve"> ha previsto di elargire a favore del nostro Ente e che risulta anch’esso già iscritto tra i residui attivi presunti al corrispondente Titolo delle Entrate in Conto Capitale.</w:t>
      </w:r>
    </w:p>
    <w:p>
      <w:pPr>
        <w:pStyle w:val="Paragrafoelenco"/>
        <w:ind w:left="360"/>
        <w:jc w:val="both"/>
        <w:rPr>
          <w:u w:val="single"/>
        </w:rPr>
      </w:pPr>
    </w:p>
    <w:p>
      <w:pPr>
        <w:pStyle w:val="Paragrafoelenco"/>
        <w:numPr>
          <w:ilvl w:val="0"/>
          <w:numId w:val="1"/>
        </w:numPr>
        <w:jc w:val="both"/>
        <w:rPr>
          <w:b/>
          <w:bCs/>
          <w:u w:val="single"/>
        </w:rPr>
      </w:pPr>
      <w:r>
        <w:rPr>
          <w:b/>
          <w:bCs/>
          <w:u w:val="single"/>
        </w:rPr>
        <w:t>TITOLO III – USCITE PER PARTITE DI GIRO</w:t>
      </w:r>
    </w:p>
    <w:p>
      <w:pPr>
        <w:pStyle w:val="Paragrafoelenco"/>
        <w:ind w:left="360"/>
        <w:jc w:val="both"/>
        <w:rPr>
          <w:u w:val="single"/>
        </w:rPr>
      </w:pPr>
      <w:r>
        <w:rPr>
          <w:u w:val="single"/>
        </w:rPr>
        <w:t>Categoria I – Entrate aventi natura di partite di giro</w:t>
      </w:r>
    </w:p>
    <w:p>
      <w:pPr>
        <w:ind w:left="360"/>
        <w:jc w:val="both"/>
      </w:pPr>
      <w:r>
        <w:t>€ +296.000,00</w:t>
      </w:r>
    </w:p>
    <w:p>
      <w:pPr>
        <w:ind w:left="360"/>
        <w:jc w:val="both"/>
      </w:pPr>
      <w:r>
        <w:t>Le operazioni in commento non hanno rilievo economico ma soltanto finanziario /contabile e coincidono con le analoghe Entrate.</w:t>
      </w:r>
    </w:p>
    <w:p>
      <w:pPr>
        <w:ind w:left="360"/>
        <w:jc w:val="both"/>
      </w:pPr>
      <w:r>
        <w:t>Si tratta principalmente di trattenute erariali e previdenziali operate sulle competenze del personale dipendente, dei collaboratori e dei professionisti.</w:t>
      </w:r>
    </w:p>
    <w:p>
      <w:pPr>
        <w:ind w:left="360"/>
        <w:jc w:val="both"/>
        <w:rPr>
          <w:color w:val="FF0000"/>
        </w:rPr>
      </w:pPr>
      <w:r>
        <w:t>Complessivamente le uscite del Titolo III ammontano ad € +296.000,00.</w:t>
      </w:r>
    </w:p>
    <w:p>
      <w:pPr>
        <w:jc w:val="center"/>
      </w:pPr>
      <w:r>
        <w:t>***</w:t>
      </w:r>
    </w:p>
    <w:p>
      <w:pPr>
        <w:jc w:val="both"/>
      </w:pPr>
      <w:r>
        <w:t>Il disavanzo finanziario determinato dalla differenza tra entrate e uscite di competenza, pari ad € 259.111,49, risulta coperto dall’utilizzo per pari importo dell’avanzo di amministrazione.</w:t>
      </w:r>
    </w:p>
    <w:p>
      <w:pPr>
        <w:jc w:val="both"/>
        <w:rPr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c>
          <w:tcPr>
            <w:tcW w:w="962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Preventivo economico</w:t>
            </w:r>
          </w:p>
        </w:tc>
      </w:tr>
    </w:tbl>
    <w:p>
      <w:pPr>
        <w:jc w:val="both"/>
      </w:pPr>
    </w:p>
    <w:p>
      <w:pPr>
        <w:jc w:val="both"/>
      </w:pPr>
      <w:r>
        <w:t>Il preventivo economico, compilato in osservanza dell’art. 14 del DPR 97/2003, è redatto in forma scalare ed abbreviata così come previsto dall’art. 9 del regolamento di contabilità.</w:t>
      </w:r>
    </w:p>
    <w:p>
      <w:pPr>
        <w:jc w:val="both"/>
      </w:pPr>
      <w:r>
        <w:t>Il conto economico pone a raffronto non solo i proventi ed i costi della gestione d’esercizio, ma anche le poste di pertinenza economica che non hanno nello stesso esercizio la manifestazione finanziaria.</w:t>
      </w:r>
    </w:p>
    <w:p>
      <w:pPr>
        <w:jc w:val="both"/>
      </w:pPr>
      <w:r>
        <w:t>Il disavanzo economico di € -217.111,49 potrà essere coperto dagli avanzi economici degli anni precedenti.</w:t>
      </w:r>
    </w:p>
    <w:p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c>
          <w:tcPr>
            <w:tcW w:w="962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Pianta organica</w:t>
            </w:r>
          </w:p>
        </w:tc>
      </w:tr>
    </w:tbl>
    <w:p>
      <w:pPr>
        <w:jc w:val="both"/>
      </w:pPr>
    </w:p>
    <w:p>
      <w:pPr>
        <w:jc w:val="both"/>
      </w:pPr>
      <w:r>
        <w:t>Il personale in forza presso il nostro Ordine è composto come di seguito indicato:</w:t>
      </w:r>
    </w:p>
    <w:p>
      <w:pPr>
        <w:pStyle w:val="Paragrafoelenco"/>
        <w:numPr>
          <w:ilvl w:val="0"/>
          <w:numId w:val="2"/>
        </w:numPr>
      </w:pPr>
      <w:r>
        <w:t>n. 4 dipendenti con contratto a tempo indeterminato e a tempo pieno, così ripartiti:</w:t>
      </w:r>
      <w:r>
        <w:br/>
        <w:t>Area C n. 2 unità</w:t>
      </w:r>
      <w:r>
        <w:br/>
        <w:t>Area B n. 2 unità</w:t>
      </w:r>
    </w:p>
    <w:p>
      <w:pPr>
        <w:tabs>
          <w:tab w:val="center" w:pos="6237"/>
        </w:tabs>
        <w:jc w:val="both"/>
      </w:pPr>
      <w:r>
        <w:tab/>
        <w:t>Il Tesoriere</w:t>
      </w:r>
    </w:p>
    <w:p>
      <w:pPr>
        <w:tabs>
          <w:tab w:val="center" w:pos="6237"/>
        </w:tabs>
        <w:jc w:val="both"/>
      </w:pPr>
      <w:r>
        <w:tab/>
        <w:t>__________________________________</w:t>
      </w:r>
    </w:p>
    <w:sectPr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dipagina"/>
    </w:pPr>
    <w:r>
      <w:t>www.ordinemedici.ancona.it</w:t>
    </w:r>
    <w:r>
      <w:tab/>
    </w:r>
    <w:sdt>
      <w:sdtPr>
        <w:id w:val="-796220221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Intestazione"/>
    </w:pPr>
    <w:r>
      <w:t>Ordine Provinciale Medici-Chirurghi</w:t>
    </w:r>
    <w:r>
      <w:tab/>
    </w:r>
    <w:r>
      <w:tab/>
      <w:t>Via Buonarroti, 1</w:t>
    </w:r>
  </w:p>
  <w:p>
    <w:pPr>
      <w:pStyle w:val="Intestazione"/>
    </w:pPr>
    <w:r>
      <w:t>e degli Odontoiatri</w:t>
    </w:r>
    <w:r>
      <w:tab/>
    </w:r>
    <w:r>
      <w:tab/>
      <w:t>60125 – Ancona (AN)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116E7"/>
    <w:multiLevelType w:val="hybridMultilevel"/>
    <w:tmpl w:val="DE8A16E0"/>
    <w:lvl w:ilvl="0" w:tplc="FE967B0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444DA1"/>
    <w:multiLevelType w:val="hybridMultilevel"/>
    <w:tmpl w:val="99A619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36B15"/>
    <w:multiLevelType w:val="hybridMultilevel"/>
    <w:tmpl w:val="E75408AE"/>
    <w:lvl w:ilvl="0" w:tplc="A664BB74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EBBED3F-83DF-432A-8E04-66085B0B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Morici</dc:creator>
  <cp:keywords/>
  <dc:description/>
  <cp:lastModifiedBy>microsoft365-07</cp:lastModifiedBy>
  <cp:revision>5</cp:revision>
  <dcterms:created xsi:type="dcterms:W3CDTF">2021-10-20T15:25:00Z</dcterms:created>
  <dcterms:modified xsi:type="dcterms:W3CDTF">2021-10-20T15:52:00Z</dcterms:modified>
</cp:coreProperties>
</file>